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cs="Times New Roman"/>
        </w:rPr>
      </w:pPr>
      <w:r>
        <w:rPr>
          <w:rFonts w:cs="Times New Roman" w:ascii="Times New Roman" w:hAnsi="Times New Roman"/>
          <w:sz w:val="28"/>
          <w:szCs w:val="28"/>
        </w:rPr>
        <w:t>14 grudnia 2018r w klasie 6b odbyła się debata oksfordzka na temat: “Niepodległość odzyskaliśmy dzięki..."</w:t>
      </w:r>
    </w:p>
    <w:p>
      <w:pPr>
        <w:pStyle w:val="Normal"/>
        <w:rPr>
          <w:sz w:val="28"/>
          <w:szCs w:val="28"/>
        </w:rPr>
      </w:pPr>
      <w:r>
        <w:rPr>
          <w:rFonts w:cs="Times New Roman" w:ascii="Times New Roman" w:hAnsi="Times New Roman"/>
          <w:sz w:val="28"/>
          <w:szCs w:val="28"/>
        </w:rPr>
        <w:t>Pierwsza</w:t>
      </w:r>
      <w:r>
        <w:rPr>
          <w:rFonts w:cs="Times New Roman" w:ascii="Times New Roman" w:hAnsi="Times New Roman"/>
          <w:sz w:val="28"/>
          <w:szCs w:val="28"/>
        </w:rPr>
        <w:t xml:space="preserve"> grupa </w:t>
      </w:r>
      <w:r>
        <w:rPr>
          <w:rFonts w:cs="Times New Roman" w:ascii="Times New Roman" w:hAnsi="Times New Roman"/>
          <w:sz w:val="28"/>
          <w:szCs w:val="28"/>
        </w:rPr>
        <w:t xml:space="preserve">broniła tezy, że niepodległość odzyskaliśmy dzięki </w:t>
      </w:r>
      <w:r>
        <w:rPr>
          <w:rFonts w:cs="Times New Roman" w:ascii="Times New Roman" w:hAnsi="Times New Roman"/>
          <w:sz w:val="28"/>
          <w:szCs w:val="28"/>
        </w:rPr>
        <w:t xml:space="preserve">wybuchowi I wojny światowej </w:t>
      </w:r>
      <w:r>
        <w:rPr>
          <w:rFonts w:cs="Times New Roman" w:ascii="Times New Roman" w:hAnsi="Times New Roman"/>
          <w:sz w:val="28"/>
          <w:szCs w:val="28"/>
        </w:rPr>
        <w:t>i przychylnej nam sytuacji geopolitycznej tamtych czasów</w:t>
      </w:r>
    </w:p>
    <w:p>
      <w:pPr>
        <w:pStyle w:val="Normal"/>
        <w:rPr>
          <w:sz w:val="28"/>
          <w:szCs w:val="28"/>
        </w:rPr>
      </w:pPr>
      <w:r>
        <w:rPr>
          <w:rFonts w:cs="Times New Roman" w:ascii="Times New Roman" w:hAnsi="Times New Roman"/>
          <w:sz w:val="28"/>
          <w:szCs w:val="28"/>
        </w:rPr>
        <w:t xml:space="preserve">Według </w:t>
      </w:r>
      <w:r>
        <w:rPr>
          <w:rFonts w:cs="Times New Roman" w:ascii="Times New Roman" w:hAnsi="Times New Roman"/>
          <w:sz w:val="28"/>
          <w:szCs w:val="28"/>
        </w:rPr>
        <w:t>grup</w:t>
      </w:r>
      <w:r>
        <w:rPr>
          <w:rFonts w:cs="Times New Roman" w:ascii="Times New Roman" w:hAnsi="Times New Roman"/>
          <w:sz w:val="28"/>
          <w:szCs w:val="28"/>
        </w:rPr>
        <w:t xml:space="preserve">y drugiej niepodległość Polski to efekt </w:t>
      </w:r>
      <w:r>
        <w:rPr>
          <w:rFonts w:cs="Times New Roman" w:ascii="Times New Roman" w:hAnsi="Times New Roman"/>
          <w:sz w:val="28"/>
          <w:szCs w:val="28"/>
        </w:rPr>
        <w:t>determinacji i woli walki Polaków.</w:t>
      </w:r>
    </w:p>
    <w:p>
      <w:pPr>
        <w:pStyle w:val="Normal"/>
        <w:rPr>
          <w:sz w:val="28"/>
          <w:szCs w:val="28"/>
        </w:rPr>
      </w:pPr>
      <w:r>
        <w:rPr>
          <w:rFonts w:cs="Times New Roman" w:ascii="Times New Roman" w:hAnsi="Times New Roman"/>
          <w:sz w:val="28"/>
          <w:szCs w:val="28"/>
        </w:rPr>
        <w:t>Poniżej przedstawiamy argumenty obu grup:</w:t>
      </w:r>
    </w:p>
    <w:tbl>
      <w:tblPr>
        <w:tblStyle w:val="Tabela-Siatka"/>
        <w:tblW w:w="10606" w:type="dxa"/>
        <w:jc w:val="left"/>
        <w:tblInd w:w="0" w:type="dxa"/>
        <w:tblCellMar>
          <w:top w:w="0" w:type="dxa"/>
          <w:left w:w="108" w:type="dxa"/>
          <w:bottom w:w="0" w:type="dxa"/>
          <w:right w:w="108" w:type="dxa"/>
        </w:tblCellMar>
        <w:tblLook w:val="04a0"/>
      </w:tblPr>
      <w:tblGrid>
        <w:gridCol w:w="5303"/>
        <w:gridCol w:w="5302"/>
      </w:tblGrid>
      <w:tr>
        <w:trPr/>
        <w:tc>
          <w:tcPr>
            <w:tcW w:w="5303" w:type="dxa"/>
            <w:tcBorders/>
            <w:shd w:fill="auto" w:val="cle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8"/>
                <w:szCs w:val="28"/>
              </w:rPr>
              <w:t>1 grupa</w:t>
            </w:r>
          </w:p>
        </w:tc>
        <w:tc>
          <w:tcPr>
            <w:tcW w:w="5302" w:type="dxa"/>
            <w:tcBorders/>
            <w:shd w:fill="auto" w:val="cle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8"/>
                <w:szCs w:val="28"/>
              </w:rPr>
              <w:t>2 grupa</w:t>
            </w:r>
          </w:p>
        </w:tc>
      </w:tr>
      <w:tr>
        <w:trPr/>
        <w:tc>
          <w:tcPr>
            <w:tcW w:w="5303" w:type="dxa"/>
            <w:tcBorders/>
            <w:shd w:fill="auto" w:val="clear"/>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2"/>
              </w:numPr>
              <w:spacing w:lineRule="auto" w:line="240" w:before="0" w:after="0"/>
              <w:contextualSpacing/>
              <w:rPr>
                <w:sz w:val="28"/>
                <w:szCs w:val="28"/>
              </w:rPr>
            </w:pPr>
            <w:r>
              <w:rPr>
                <w:rFonts w:cs="Times New Roman" w:ascii="Times New Roman" w:hAnsi="Times New Roman"/>
                <w:sz w:val="28"/>
                <w:szCs w:val="28"/>
              </w:rPr>
              <w:t xml:space="preserve">najkorzystniejsze dla Polski były wydarzenia z lat 1914-1918 </w:t>
            </w:r>
            <w:r>
              <w:rPr>
                <w:rFonts w:cs="Times New Roman" w:ascii="Times New Roman" w:hAnsi="Times New Roman"/>
                <w:sz w:val="28"/>
                <w:szCs w:val="28"/>
              </w:rPr>
              <w:t>d</w:t>
            </w:r>
            <w:r>
              <w:rPr>
                <w:rFonts w:cs="Times New Roman" w:ascii="Times New Roman" w:hAnsi="Times New Roman"/>
                <w:sz w:val="28"/>
                <w:szCs w:val="28"/>
              </w:rPr>
              <w:t xml:space="preserve">latego, że głównymi przegranymi  państwami w I wojnie były państwa zaborcze Rosja, Niemcy i Austro-Wegry. W pierwszym etapie wojny Rosja została podbita przez państwa </w:t>
            </w:r>
            <w:r>
              <w:rPr>
                <w:rFonts w:cs="Times New Roman" w:ascii="Times New Roman" w:hAnsi="Times New Roman"/>
                <w:sz w:val="28"/>
                <w:szCs w:val="28"/>
              </w:rPr>
              <w:t>c</w:t>
            </w:r>
            <w:r>
              <w:rPr>
                <w:rFonts w:cs="Times New Roman" w:ascii="Times New Roman" w:hAnsi="Times New Roman"/>
                <w:sz w:val="28"/>
                <w:szCs w:val="28"/>
              </w:rPr>
              <w:t>entralne, a następnie te państwa pokonała koalicja zachodnia. Mimo różnych sytuacji na frontach państwa zaborcze były cały czas dość silne, by nie dopuścić do oddania ziem polskich. Jednak sytuacja uległa zmianie, gdy doszło do wybuchu rewolucji bolszewickiej  i zamętu w Rosji.</w:t>
            </w:r>
          </w:p>
          <w:p>
            <w:pPr>
              <w:pStyle w:val="ListParagraph"/>
              <w:numPr>
                <w:ilvl w:val="0"/>
                <w:numId w:val="1"/>
              </w:numPr>
              <w:spacing w:lineRule="auto" w:line="240" w:before="0" w:after="0"/>
              <w:contextualSpacing/>
              <w:rPr>
                <w:rFonts w:ascii="Times New Roman" w:hAnsi="Times New Roman" w:eastAsia="Times New Roman" w:cs="Times New Roman"/>
                <w:sz w:val="24"/>
                <w:szCs w:val="24"/>
                <w:lang w:eastAsia="pl-PL"/>
              </w:rPr>
            </w:pPr>
            <w:r>
              <w:rPr>
                <w:rFonts w:cs="Times New Roman" w:ascii="Times New Roman" w:hAnsi="Times New Roman"/>
                <w:sz w:val="28"/>
                <w:szCs w:val="28"/>
              </w:rPr>
              <w:t xml:space="preserve">27 grudnia 1918 r. wybuchło powstanie wielkopolskie, które przywróciło Wielkopolskę do macierzy. </w:t>
            </w:r>
          </w:p>
          <w:p>
            <w:pPr>
              <w:pStyle w:val="ListParagraph"/>
              <w:numPr>
                <w:ilvl w:val="0"/>
                <w:numId w:val="1"/>
              </w:numPr>
              <w:spacing w:lineRule="auto" w:line="240" w:before="0" w:after="0"/>
              <w:contextualSpacing/>
              <w:rPr>
                <w:rFonts w:ascii="Times New Roman" w:hAnsi="Times New Roman" w:eastAsia="Times New Roman" w:cs="Times New Roman"/>
                <w:sz w:val="24"/>
                <w:szCs w:val="24"/>
                <w:lang w:eastAsia="pl-PL"/>
              </w:rPr>
            </w:pPr>
            <w:r>
              <w:rPr>
                <w:rFonts w:cs="Times New Roman" w:ascii="Times New Roman" w:hAnsi="Times New Roman"/>
                <w:sz w:val="28"/>
                <w:szCs w:val="28"/>
              </w:rPr>
              <w:t xml:space="preserve">W Galicji Wschodniej trwały zacięte walki z Ukraińcami, </w:t>
            </w:r>
          </w:p>
          <w:p>
            <w:pPr>
              <w:pStyle w:val="ListParagraph"/>
              <w:numPr>
                <w:ilvl w:val="0"/>
                <w:numId w:val="1"/>
              </w:numPr>
              <w:spacing w:lineRule="auto" w:line="240" w:before="0" w:after="0"/>
              <w:contextualSpacing/>
              <w:rPr>
                <w:rFonts w:ascii="Times New Roman" w:hAnsi="Times New Roman" w:eastAsia="Times New Roman" w:cs="Times New Roman"/>
                <w:sz w:val="24"/>
                <w:szCs w:val="24"/>
                <w:lang w:eastAsia="pl-PL"/>
              </w:rPr>
            </w:pPr>
            <w:r>
              <w:rPr>
                <w:rFonts w:cs="Times New Roman" w:ascii="Times New Roman" w:hAnsi="Times New Roman"/>
                <w:sz w:val="28"/>
                <w:szCs w:val="28"/>
              </w:rPr>
              <w:t xml:space="preserve">na wschodnich kresach Polski oddziały samoobrony walczyły z bolszewikami. </w:t>
            </w:r>
          </w:p>
          <w:p>
            <w:pPr>
              <w:pStyle w:val="ListParagraph"/>
              <w:numPr>
                <w:ilvl w:val="0"/>
                <w:numId w:val="1"/>
              </w:numPr>
              <w:spacing w:lineRule="auto" w:line="240" w:before="0" w:after="0"/>
              <w:contextualSpacing/>
              <w:rPr>
                <w:sz w:val="28"/>
                <w:szCs w:val="28"/>
              </w:rPr>
            </w:pPr>
            <w:r>
              <w:rPr>
                <w:rFonts w:cs="Times New Roman" w:ascii="Times New Roman" w:hAnsi="Times New Roman"/>
                <w:sz w:val="28"/>
                <w:szCs w:val="28"/>
              </w:rPr>
              <w:t>wybuchły trzy powstania śląskie po to, by część Górnego Śląska znalazła się w granicach Polski.</w:t>
            </w:r>
          </w:p>
          <w:p>
            <w:pPr>
              <w:pStyle w:val="ListParagraph"/>
              <w:numPr>
                <w:ilvl w:val="0"/>
                <w:numId w:val="2"/>
              </w:numPr>
              <w:spacing w:lineRule="auto" w:line="240" w:before="0" w:after="0"/>
              <w:contextualSpacing/>
              <w:rPr>
                <w:rFonts w:ascii="Times New Roman" w:hAnsi="Times New Roman" w:cs="Times New Roman"/>
                <w:szCs w:val="32"/>
              </w:rPr>
            </w:pPr>
            <w:r>
              <w:rPr>
                <w:rFonts w:cs="Times New Roman" w:ascii="Times New Roman" w:hAnsi="Times New Roman"/>
                <w:sz w:val="28"/>
                <w:szCs w:val="28"/>
              </w:rPr>
              <w:t>Przypieczętowaniem dzieła odrodzenia Rzeczypospolitej była Bitwa Warszawska 13-25.09.1920r., w której naród polski obronił odzyskaną niepodległość.</w:t>
            </w:r>
            <w:r>
              <w:rPr>
                <w:rFonts w:eastAsia="Times New Roman" w:cs="Times New Roman" w:ascii="Times New Roman" w:hAnsi="Times New Roman"/>
                <w:sz w:val="28"/>
                <w:szCs w:val="28"/>
                <w:lang w:eastAsia="pl-PL"/>
              </w:rPr>
              <w:b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5302" w:type="dxa"/>
            <w:tcBorders/>
            <w:shd w:fill="auto" w:val="clear"/>
          </w:tcPr>
          <w:p>
            <w:pPr>
              <w:pStyle w:val="ListParagraph"/>
              <w:numPr>
                <w:ilvl w:val="0"/>
                <w:numId w:val="2"/>
              </w:numPr>
              <w:spacing w:lineRule="auto" w:line="240" w:before="0" w:after="0"/>
              <w:contextualSpacing/>
              <w:rPr>
                <w:sz w:val="28"/>
                <w:szCs w:val="28"/>
              </w:rPr>
            </w:pPr>
            <w:r>
              <w:rPr>
                <w:rFonts w:cs="Times New Roman" w:ascii="Times New Roman" w:hAnsi="Times New Roman"/>
                <w:sz w:val="28"/>
                <w:szCs w:val="28"/>
              </w:rPr>
              <w:t xml:space="preserve">Szansą dla narodu polskiego były wszelkie zrywy powstańcze ( powstanie listopadowe, styczniowe). </w:t>
            </w:r>
            <w:r>
              <w:rPr>
                <w:rFonts w:cs="Times New Roman" w:ascii="Times New Roman" w:hAnsi="Times New Roman"/>
                <w:sz w:val="28"/>
                <w:szCs w:val="28"/>
              </w:rPr>
              <w:t>P</w:t>
            </w:r>
            <w:r>
              <w:rPr>
                <w:rFonts w:cs="Times New Roman" w:ascii="Times New Roman" w:hAnsi="Times New Roman"/>
                <w:sz w:val="28"/>
                <w:szCs w:val="28"/>
              </w:rPr>
              <w:t>omimo poniesionej klęski, Polacy stawiali czynny opór wobec agresora, przeciwstawiając się rusyfikacji i germanizacji.</w:t>
            </w:r>
          </w:p>
          <w:p>
            <w:pPr>
              <w:pStyle w:val="ListParagraph"/>
              <w:numPr>
                <w:ilvl w:val="0"/>
                <w:numId w:val="2"/>
              </w:numPr>
              <w:spacing w:lineRule="auto" w:line="240" w:before="0" w:after="0"/>
              <w:contextualSpacing/>
              <w:rPr>
                <w:rFonts w:ascii="Times New Roman" w:hAnsi="Times New Roman" w:eastAsia="Times New Roman" w:cs="Times New Roman"/>
                <w:sz w:val="24"/>
                <w:szCs w:val="24"/>
                <w:lang w:eastAsia="pl-PL"/>
              </w:rPr>
            </w:pPr>
            <w:r>
              <w:rPr>
                <w:rFonts w:cs="Times New Roman" w:ascii="Times New Roman" w:hAnsi="Times New Roman"/>
                <w:sz w:val="28"/>
                <w:szCs w:val="28"/>
              </w:rPr>
              <w:t xml:space="preserve">Młodzież zdobywała wiedzę o polskiej historii i literaturze na nielegalnych tajnych kompletach oraz w szkołach prywatnych. Na tajnych kompletach, które ze względów bezpieczeństwa były organizowane w różnych miejscach, wykładali wybitni polscy naukowcy. Tajne nauczanie prowadzono również na wsi. </w:t>
            </w:r>
          </w:p>
          <w:p>
            <w:pPr>
              <w:pStyle w:val="ListParagraph"/>
              <w:numPr>
                <w:ilvl w:val="0"/>
                <w:numId w:val="2"/>
              </w:numPr>
              <w:spacing w:lineRule="auto" w:line="240" w:before="0" w:after="0"/>
              <w:contextualSpacing/>
              <w:rPr>
                <w:rFonts w:ascii="Times New Roman" w:hAnsi="Times New Roman" w:eastAsia="Times New Roman" w:cs="Times New Roman"/>
                <w:sz w:val="24"/>
                <w:szCs w:val="24"/>
                <w:lang w:eastAsia="pl-PL"/>
              </w:rPr>
            </w:pPr>
            <w:r>
              <w:rPr>
                <w:rFonts w:cs="Times New Roman" w:ascii="Times New Roman" w:hAnsi="Times New Roman"/>
                <w:sz w:val="28"/>
                <w:szCs w:val="28"/>
              </w:rPr>
              <w:t>W walkę z rusyfikacją włączyli się czynnie przedstawiciele literatury i sztuki, tworząc ku pokrzepieniu serc. Twórczość Henryka Sienkiewicza, Bolesława Prusa, Elizy Orzeszkowej, Jana Matejki, czy Stanisława Wyspiańskiego kształtowała świadomość narodową i przywiązanie do ojczystej ziemi.</w:t>
            </w:r>
          </w:p>
          <w:p>
            <w:pPr>
              <w:pStyle w:val="ListParagraph"/>
              <w:numPr>
                <w:ilvl w:val="0"/>
                <w:numId w:val="2"/>
              </w:numPr>
              <w:spacing w:lineRule="auto" w:line="240" w:before="0" w:after="0"/>
              <w:contextualSpacing/>
              <w:rPr>
                <w:sz w:val="28"/>
                <w:szCs w:val="28"/>
              </w:rPr>
            </w:pPr>
            <w:r>
              <w:rPr>
                <w:rFonts w:cs="Times New Roman" w:ascii="Times New Roman" w:hAnsi="Times New Roman"/>
                <w:sz w:val="28"/>
                <w:szCs w:val="28"/>
              </w:rPr>
              <w:t xml:space="preserve">Zakładano Towarzystwa Czytelni Ludowych i Towarzystwa Ludowe, które rozwijały sieć polskich bibliotek, prowadziły odczyty i pogadanki o historii Polski. W 1894r utworzyło się towarzystwo „Warta” jej członkowie prowadzili tajne nauczanie języka polskiego, gdy w szkołach był tylko język niemiecki. W 1905 utworzyło się stowarzyszenie „Straż”. </w:t>
            </w:r>
            <w:r>
              <w:rPr>
                <w:rFonts w:cs="Times New Roman" w:ascii="Times New Roman" w:hAnsi="Times New Roman"/>
                <w:sz w:val="28"/>
                <w:szCs w:val="28"/>
              </w:rPr>
              <w:t>P</w:t>
            </w:r>
            <w:r>
              <w:rPr>
                <w:rFonts w:cs="Times New Roman" w:ascii="Times New Roman" w:hAnsi="Times New Roman"/>
                <w:sz w:val="28"/>
                <w:szCs w:val="28"/>
              </w:rPr>
              <w:t>rzeciwdziałało ono Hakacie, przygotowywało teatrzyki przybliżające historię ojczystą i obchody polskich rocznic narodowych. Masowymi organizacjami narodowymi stały się polskie instytucje gospodarcze, spółki, banki i polski system kredytowy, których patronem był ksiądz Piotr Wawrzyniak.</w:t>
            </w:r>
          </w:p>
          <w:p>
            <w:pPr>
              <w:pStyle w:val="ListParagraph"/>
              <w:numPr>
                <w:ilvl w:val="0"/>
                <w:numId w:val="2"/>
              </w:numPr>
              <w:spacing w:lineRule="auto" w:line="240" w:before="0" w:after="0"/>
              <w:contextualSpacing/>
              <w:rPr>
                <w:sz w:val="28"/>
                <w:szCs w:val="28"/>
              </w:rPr>
            </w:pPr>
            <w:r>
              <w:rPr>
                <w:rFonts w:eastAsia="Times New Roman" w:cs="Times New Roman" w:ascii="Times New Roman" w:hAnsi="Times New Roman"/>
                <w:sz w:val="28"/>
                <w:szCs w:val="28"/>
                <w:lang w:eastAsia="pl-PL"/>
              </w:rPr>
              <w:t xml:space="preserve">Dużą rolę w tym </w:t>
            </w:r>
            <w:r>
              <w:rPr>
                <w:rFonts w:eastAsia="Times New Roman" w:cs="Times New Roman" w:ascii="Times New Roman" w:hAnsi="Times New Roman"/>
                <w:sz w:val="28"/>
                <w:szCs w:val="28"/>
                <w:lang w:eastAsia="pl-PL"/>
              </w:rPr>
              <w:t xml:space="preserve">dziele </w:t>
            </w:r>
            <w:r>
              <w:rPr>
                <w:rFonts w:eastAsia="Times New Roman" w:cs="Times New Roman" w:ascii="Times New Roman" w:hAnsi="Times New Roman"/>
                <w:sz w:val="28"/>
                <w:szCs w:val="28"/>
                <w:lang w:eastAsia="pl-PL"/>
              </w:rPr>
              <w:t>odegrali wybitni politycy i mężowie stanu, którzy reprezentowali wówczas Polaków zarówno w ramach trzech zaborów jak i za granicami. Byli to m.in.: Józef Piłsudski, Roman Dmowski, Ignacy Paderewski, Wincenty Witos, Wojciech Korfanty i Ignacy Daszyński. Pomimo różnych poglądów politycznych, pochodzenia, potrafili wynieść kwestię odrodzenia kraju ponad osobiste interesy.</w:t>
              <w:b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r>
    </w:tbl>
    <w:p>
      <w:pPr>
        <w:pStyle w:val="Normal"/>
        <w:rPr>
          <w:rFonts w:ascii="Times New Roman" w:hAnsi="Times New Roman" w:cs="Times New Roman"/>
        </w:rPr>
      </w:pPr>
      <w:r>
        <w:rPr>
          <w:sz w:val="28"/>
          <w:szCs w:val="28"/>
        </w:rPr>
      </w:r>
    </w:p>
    <w:p>
      <w:pPr>
        <w:pStyle w:val="Normal"/>
        <w:spacing w:before="0" w:after="200"/>
        <w:rPr>
          <w:sz w:val="28"/>
          <w:szCs w:val="28"/>
        </w:rPr>
      </w:pPr>
      <w:r>
        <w:rPr>
          <w:rFonts w:cs="Times New Roman" w:ascii="Times New Roman" w:hAnsi="Times New Roman"/>
          <w:sz w:val="28"/>
          <w:szCs w:val="28"/>
        </w:rPr>
        <w:t xml:space="preserve">Widzowie po wysłuchaniu głosując wyrazili swoją opinię. </w:t>
      </w:r>
      <w:r>
        <w:rPr>
          <w:rFonts w:cs="Times New Roman" w:ascii="Times New Roman" w:hAnsi="Times New Roman"/>
          <w:sz w:val="28"/>
          <w:szCs w:val="28"/>
        </w:rPr>
        <w:t xml:space="preserve">Obie grupy walczyły dzielnie, a ich argumentacja trafiała do przekonania słuchaczy na widowni. </w:t>
      </w:r>
      <w:r>
        <w:rPr>
          <w:rFonts w:cs="Times New Roman" w:ascii="Times New Roman" w:hAnsi="Times New Roman"/>
          <w:sz w:val="28"/>
          <w:szCs w:val="28"/>
        </w:rPr>
        <w:t xml:space="preserve">Bardziej przekonała ich </w:t>
      </w:r>
      <w:r>
        <w:rPr>
          <w:rFonts w:cs="Times New Roman" w:ascii="Times New Roman" w:hAnsi="Times New Roman"/>
          <w:sz w:val="28"/>
          <w:szCs w:val="28"/>
        </w:rPr>
        <w:t xml:space="preserve">jednak </w:t>
      </w:r>
      <w:r>
        <w:rPr>
          <w:rFonts w:cs="Times New Roman" w:ascii="Times New Roman" w:hAnsi="Times New Roman"/>
          <w:sz w:val="28"/>
          <w:szCs w:val="28"/>
        </w:rPr>
        <w:t xml:space="preserve">grupa I </w:t>
      </w:r>
      <w:r>
        <w:rPr>
          <w:rFonts w:cs="Times New Roman" w:ascii="Times New Roman" w:hAnsi="Times New Roman"/>
          <w:sz w:val="28"/>
          <w:szCs w:val="28"/>
        </w:rPr>
        <w:t>i to ona zwyciężyła w naszej debacie.</w:t>
      </w:r>
    </w:p>
    <w:sectPr>
      <w:type w:val="nextPage"/>
      <w:pgSz w:w="11906" w:h="16838"/>
      <w:pgMar w:left="720" w:right="720" w:header="0" w:top="720" w:footer="0" w:bottom="72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roman"/>
    <w:pitch w:val="variable"/>
  </w:font>
  <w:font w:name="Liberation Sans">
    <w:altName w:val="Arial"/>
    <w:charset w:val="ee"/>
    <w:family w:val="swiss"/>
    <w:pitch w:val="variable"/>
  </w:font>
  <w:font w:name="Times New Roman">
    <w:charset w:val="ee"/>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63888"/>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dymkaZnak" w:customStyle="1">
    <w:name w:val="Tekst dymka Znak"/>
    <w:basedOn w:val="DefaultParagraphFont"/>
    <w:link w:val="Tekstdymka"/>
    <w:uiPriority w:val="99"/>
    <w:semiHidden/>
    <w:qFormat/>
    <w:rsid w:val="00bb0a26"/>
    <w:rPr>
      <w:rFonts w:ascii="Tahoma" w:hAnsi="Tahoma" w:cs="Tahoma"/>
      <w:sz w:val="16"/>
      <w:szCs w:val="16"/>
    </w:rPr>
  </w:style>
  <w:style w:type="character" w:styleId="Czeinternetowe">
    <w:name w:val="Łącze internetowe"/>
    <w:basedOn w:val="DefaultParagraphFont"/>
    <w:uiPriority w:val="99"/>
    <w:semiHidden/>
    <w:unhideWhenUsed/>
    <w:rsid w:val="00aa7026"/>
    <w:rPr>
      <w:color w:val="0000FF"/>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BalloonText">
    <w:name w:val="Balloon Text"/>
    <w:basedOn w:val="Normal"/>
    <w:link w:val="TekstdymkaZnak"/>
    <w:uiPriority w:val="99"/>
    <w:semiHidden/>
    <w:unhideWhenUsed/>
    <w:qFormat/>
    <w:rsid w:val="00bb0a26"/>
    <w:pPr>
      <w:spacing w:lineRule="auto" w:line="240" w:before="0" w:after="0"/>
    </w:pPr>
    <w:rPr>
      <w:rFonts w:ascii="Tahoma" w:hAnsi="Tahoma" w:cs="Tahoma"/>
      <w:sz w:val="16"/>
      <w:szCs w:val="16"/>
    </w:rPr>
  </w:style>
  <w:style w:type="paragraph" w:styleId="ListParagraph">
    <w:name w:val="List Paragraph"/>
    <w:basedOn w:val="Normal"/>
    <w:uiPriority w:val="34"/>
    <w:qFormat/>
    <w:rsid w:val="00aa7026"/>
    <w:pPr>
      <w:spacing w:before="0" w:after="200"/>
      <w:ind w:left="720" w:hanging="0"/>
      <w:contextualSpacing/>
    </w:pPr>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table" w:styleId="Tabela-Siatka">
    <w:name w:val="Table Grid"/>
    <w:basedOn w:val="Standardowy"/>
    <w:uiPriority w:val="59"/>
    <w:rsid w:val="00aa7026"/>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9424A-8D3D-4AB8-B85B-6956D91FF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LibreOffice/6.0.4.2$Windows_x86 LibreOffice_project/9b0d9b32d5dcda91d2f1a96dc04c645c450872bf</Application>
  <Pages>2</Pages>
  <Words>461</Words>
  <Characters>2996</Characters>
  <CharactersWithSpaces>3436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2018-12-22T17:04:00Z</dcterms:created>
  <dc:creator>Inga</dc:creator>
  <dc:description/>
  <dc:language>pl-PL</dc:language>
  <cp:lastModifiedBy/>
  <cp:lastPrinted>2018-10-15T05:02:00Z</cp:lastPrinted>
  <dcterms:modified xsi:type="dcterms:W3CDTF">2018-12-22T18:59:25Z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